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E0" w:rsidRDefault="00020020">
      <w:proofErr w:type="spellStart"/>
      <w:r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</w:t>
      </w:r>
      <w:proofErr w:type="spellStart"/>
      <w:r>
        <w:t>Gimnazija</w:t>
      </w:r>
      <w:proofErr w:type="spellEnd"/>
      <w:r>
        <w:t xml:space="preserve"> “</w:t>
      </w:r>
      <w:proofErr w:type="spellStart"/>
      <w:r>
        <w:t>Matija</w:t>
      </w:r>
      <w:proofErr w:type="spellEnd"/>
      <w:r>
        <w:t xml:space="preserve"> </w:t>
      </w:r>
      <w:proofErr w:type="spellStart"/>
      <w:r>
        <w:t>Mesić</w:t>
      </w:r>
      <w:proofErr w:type="spellEnd"/>
      <w:r>
        <w:t>”</w:t>
      </w:r>
    </w:p>
    <w:p w:rsidR="00020020" w:rsidRDefault="00020020"/>
    <w:p w:rsidR="00020020" w:rsidRDefault="00020020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r w:rsidR="00121580">
        <w:t xml:space="preserve"> </w:t>
      </w:r>
      <w:proofErr w:type="spellStart"/>
      <w:r w:rsidR="00121580">
        <w:t>reprezentativnom</w:t>
      </w:r>
      <w:proofErr w:type="spellEnd"/>
      <w:r w:rsidR="00121580">
        <w:t xml:space="preserve"> </w:t>
      </w:r>
      <w:proofErr w:type="spellStart"/>
      <w:r w:rsidR="00121580">
        <w:t>uzorku</w:t>
      </w:r>
      <w:proofErr w:type="spellEnd"/>
      <w:r w:rsidR="00121580"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88 </w:t>
      </w:r>
      <w:proofErr w:type="spellStart"/>
      <w:r>
        <w:t>ispitanika</w:t>
      </w:r>
      <w:proofErr w:type="spellEnd"/>
      <w:r>
        <w:t>.</w:t>
      </w:r>
    </w:p>
    <w:p w:rsidR="00121580" w:rsidRDefault="00121580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 58 % </w:t>
      </w:r>
      <w:proofErr w:type="spellStart"/>
      <w:proofErr w:type="gramStart"/>
      <w:r>
        <w:t>ispitanika</w:t>
      </w:r>
      <w:proofErr w:type="spellEnd"/>
      <w:r>
        <w:t xml:space="preserve">  </w:t>
      </w:r>
      <w:r w:rsidR="00B11785">
        <w:t>-</w:t>
      </w:r>
      <w:proofErr w:type="gramEnd"/>
      <w:r>
        <w:t xml:space="preserve"> “</w:t>
      </w:r>
      <w:proofErr w:type="spellStart"/>
      <w:r>
        <w:t>malo</w:t>
      </w:r>
      <w:proofErr w:type="spellEnd"/>
      <w:r>
        <w:t xml:space="preserve">”, 41% </w:t>
      </w:r>
      <w:proofErr w:type="spellStart"/>
      <w:r w:rsidR="00B11785">
        <w:t>ispitanika</w:t>
      </w:r>
      <w:proofErr w:type="spellEnd"/>
      <w:r w:rsidR="00B11785">
        <w:t xml:space="preserve"> – </w:t>
      </w:r>
      <w:proofErr w:type="spellStart"/>
      <w:r w:rsidR="00B11785">
        <w:t>dovoljno</w:t>
      </w:r>
      <w:proofErr w:type="spellEnd"/>
      <w:r w:rsidR="00B11785">
        <w:t xml:space="preserve">, 1% </w:t>
      </w:r>
      <w:proofErr w:type="spellStart"/>
      <w:r w:rsidR="00B11785">
        <w:t>ispitanika</w:t>
      </w:r>
      <w:proofErr w:type="spellEnd"/>
      <w:r w:rsidR="00B11785">
        <w:t xml:space="preserve">- </w:t>
      </w:r>
      <w:proofErr w:type="spellStart"/>
      <w:r w:rsidR="00B11785">
        <w:t>puno</w:t>
      </w:r>
      <w:proofErr w:type="spellEnd"/>
      <w:r w:rsidR="00B11785">
        <w:t>.</w:t>
      </w:r>
    </w:p>
    <w:p w:rsidR="00B11785" w:rsidRDefault="00B11785">
      <w:r>
        <w:t>88</w:t>
      </w:r>
      <w:proofErr w:type="gramStart"/>
      <w:r>
        <w:t>,6</w:t>
      </w:r>
      <w:proofErr w:type="gramEnd"/>
      <w:r>
        <w:t xml:space="preserve">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 w:rsidR="00A545B5">
        <w:t xml:space="preserve">, a 11,4% </w:t>
      </w:r>
      <w:proofErr w:type="spellStart"/>
      <w:r w:rsidR="00A545B5">
        <w:t>iz</w:t>
      </w:r>
      <w:proofErr w:type="spellEnd"/>
      <w:r w:rsidR="00A545B5">
        <w:t xml:space="preserve"> </w:t>
      </w:r>
      <w:proofErr w:type="spellStart"/>
      <w:r w:rsidR="00A545B5">
        <w:t>dnevnog</w:t>
      </w:r>
      <w:proofErr w:type="spellEnd"/>
      <w:r w:rsidR="00A545B5">
        <w:t xml:space="preserve"> </w:t>
      </w:r>
      <w:proofErr w:type="spellStart"/>
      <w:r w:rsidR="00A545B5">
        <w:t>tiska</w:t>
      </w:r>
      <w:proofErr w:type="spellEnd"/>
      <w:r w:rsidR="00A545B5">
        <w:t xml:space="preserve"> </w:t>
      </w:r>
      <w:proofErr w:type="spellStart"/>
      <w:r w:rsidR="00A545B5">
        <w:t>i</w:t>
      </w:r>
      <w:proofErr w:type="spellEnd"/>
      <w:r w:rsidR="00A545B5">
        <w:t xml:space="preserve"> </w:t>
      </w:r>
      <w:proofErr w:type="spellStart"/>
      <w:r w:rsidR="00A545B5">
        <w:t>interneta</w:t>
      </w:r>
      <w:proofErr w:type="spellEnd"/>
    </w:p>
    <w:p w:rsidR="00B11785" w:rsidRDefault="00B11785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A545B5" w:rsidRDefault="00A545B5">
      <w:r>
        <w:rPr>
          <w:noProof/>
          <w:lang w:val="hr-HR" w:eastAsia="hr-HR"/>
        </w:rPr>
        <w:drawing>
          <wp:inline distT="0" distB="0" distL="0" distR="0">
            <wp:extent cx="2657475" cy="1676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D407E9">
        <w:t xml:space="preserve">     </w:t>
      </w:r>
      <w:r w:rsidR="00D407E9">
        <w:rPr>
          <w:noProof/>
          <w:lang w:val="hr-HR" w:eastAsia="hr-HR"/>
        </w:rPr>
        <w:drawing>
          <wp:inline distT="0" distB="0" distL="0" distR="0">
            <wp:extent cx="2800350" cy="15240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1785" w:rsidRDefault="00B11785">
      <w:r>
        <w:rPr>
          <w:noProof/>
          <w:lang w:val="hr-HR" w:eastAsia="hr-HR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1785" w:rsidRDefault="00B11785"/>
    <w:p w:rsidR="00B11785" w:rsidRDefault="00B11785"/>
    <w:p w:rsidR="00D407E9" w:rsidRDefault="00D407E9" w:rsidP="00A545B5"/>
    <w:p w:rsidR="00A545B5" w:rsidRDefault="00A545B5" w:rsidP="00A545B5">
      <w:proofErr w:type="spellStart"/>
      <w:r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</w:t>
      </w:r>
      <w:proofErr w:type="spellStart"/>
      <w:r>
        <w:t>Obrtnička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A545B5" w:rsidRDefault="00A545B5" w:rsidP="00A545B5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25 </w:t>
      </w:r>
      <w:proofErr w:type="spellStart"/>
      <w:r>
        <w:t>ispitanika</w:t>
      </w:r>
      <w:proofErr w:type="spellEnd"/>
      <w:r>
        <w:t>.</w:t>
      </w:r>
    </w:p>
    <w:p w:rsidR="00A545B5" w:rsidRDefault="00A545B5" w:rsidP="00A545B5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 36 % </w:t>
      </w:r>
      <w:proofErr w:type="spellStart"/>
      <w:proofErr w:type="gramStart"/>
      <w:r>
        <w:t>ispitanika</w:t>
      </w:r>
      <w:proofErr w:type="spellEnd"/>
      <w:r>
        <w:t xml:space="preserve">  -</w:t>
      </w:r>
      <w:proofErr w:type="gramEnd"/>
      <w:r>
        <w:t xml:space="preserve"> “</w:t>
      </w:r>
      <w:proofErr w:type="spellStart"/>
      <w:r>
        <w:t>malo</w:t>
      </w:r>
      <w:proofErr w:type="spellEnd"/>
      <w:r>
        <w:t xml:space="preserve">”, 60% </w:t>
      </w:r>
      <w:proofErr w:type="spellStart"/>
      <w:r>
        <w:t>ispitanika</w:t>
      </w:r>
      <w:proofErr w:type="spellEnd"/>
      <w:r>
        <w:t xml:space="preserve"> – </w:t>
      </w:r>
      <w:proofErr w:type="spellStart"/>
      <w:r>
        <w:t>dovoljno</w:t>
      </w:r>
      <w:proofErr w:type="spellEnd"/>
      <w:r>
        <w:t xml:space="preserve">, 4%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A545B5" w:rsidRDefault="00A545B5" w:rsidP="00A545B5">
      <w:r>
        <w:t xml:space="preserve">96%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>
        <w:t xml:space="preserve">, a 4% s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tiska</w:t>
      </w:r>
      <w:proofErr w:type="spellEnd"/>
    </w:p>
    <w:p w:rsidR="00A545B5" w:rsidRDefault="00A545B5" w:rsidP="00A545B5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A545B5" w:rsidRDefault="00D407E9">
      <w:r w:rsidRPr="00D407E9">
        <w:rPr>
          <w:noProof/>
          <w:lang w:val="hr-HR" w:eastAsia="hr-HR"/>
        </w:rPr>
        <w:drawing>
          <wp:inline distT="0" distB="0" distL="0" distR="0">
            <wp:extent cx="2705100" cy="1676400"/>
            <wp:effectExtent l="19050" t="0" r="1905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407E9">
        <w:rPr>
          <w:noProof/>
          <w:lang w:val="hr-HR" w:eastAsia="hr-HR"/>
        </w:rPr>
        <w:drawing>
          <wp:inline distT="0" distB="0" distL="0" distR="0">
            <wp:extent cx="2800350" cy="1524000"/>
            <wp:effectExtent l="19050" t="0" r="1905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07E9" w:rsidRDefault="00D407E9"/>
    <w:p w:rsidR="00D407E9" w:rsidRDefault="00D407E9">
      <w:r w:rsidRPr="00D407E9">
        <w:rPr>
          <w:noProof/>
          <w:lang w:val="hr-HR" w:eastAsia="hr-HR"/>
        </w:rPr>
        <w:drawing>
          <wp:inline distT="0" distB="0" distL="0" distR="0">
            <wp:extent cx="5486400" cy="3200400"/>
            <wp:effectExtent l="19050" t="0" r="19050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5E44" w:rsidRDefault="002F5E44"/>
    <w:p w:rsidR="002F5E44" w:rsidRDefault="002F5E44" w:rsidP="002F5E44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2F5E44" w:rsidRDefault="002F5E44" w:rsidP="002F5E44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32 </w:t>
      </w:r>
      <w:proofErr w:type="spellStart"/>
      <w:r>
        <w:t>ispitanika</w:t>
      </w:r>
      <w:proofErr w:type="spellEnd"/>
      <w:r>
        <w:t>.</w:t>
      </w:r>
    </w:p>
    <w:p w:rsidR="002F5E44" w:rsidRDefault="002F5E44" w:rsidP="002F5E44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56</w:t>
      </w:r>
      <w:proofErr w:type="gramStart"/>
      <w:r>
        <w:t>,25</w:t>
      </w:r>
      <w:proofErr w:type="gramEnd"/>
      <w:r>
        <w:t xml:space="preserve"> % </w:t>
      </w:r>
      <w:proofErr w:type="spellStart"/>
      <w:r>
        <w:t>ispitanika</w:t>
      </w:r>
      <w:proofErr w:type="spellEnd"/>
      <w:r>
        <w:t xml:space="preserve">  - “</w:t>
      </w:r>
      <w:proofErr w:type="spellStart"/>
      <w:r>
        <w:t>malo</w:t>
      </w:r>
      <w:proofErr w:type="spellEnd"/>
      <w:r>
        <w:t xml:space="preserve">”, 40.6 % </w:t>
      </w:r>
      <w:proofErr w:type="spellStart"/>
      <w:r>
        <w:t>ispitanika</w:t>
      </w:r>
      <w:proofErr w:type="spellEnd"/>
      <w:r>
        <w:t xml:space="preserve"> – </w:t>
      </w:r>
      <w:proofErr w:type="spellStart"/>
      <w:r>
        <w:t>dovoljno</w:t>
      </w:r>
      <w:proofErr w:type="spellEnd"/>
      <w:r>
        <w:t xml:space="preserve">, 3,12 %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2F5E44" w:rsidRDefault="002F5E44" w:rsidP="002F5E44">
      <w:r>
        <w:t>84</w:t>
      </w:r>
      <w:proofErr w:type="gramStart"/>
      <w:r>
        <w:t>,37</w:t>
      </w:r>
      <w:proofErr w:type="gramEnd"/>
      <w:r>
        <w:t xml:space="preserve">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>
        <w:t xml:space="preserve">, a 15,62 % </w:t>
      </w:r>
      <w:proofErr w:type="spellStart"/>
      <w:r>
        <w:t>iz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tiska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</w:p>
    <w:p w:rsidR="002F5E44" w:rsidRDefault="002F5E44" w:rsidP="002F5E44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2F5E44" w:rsidRDefault="002F5E44">
      <w:r w:rsidRPr="002F5E44">
        <w:rPr>
          <w:noProof/>
          <w:lang w:val="hr-HR" w:eastAsia="hr-HR"/>
        </w:rPr>
        <w:drawing>
          <wp:inline distT="0" distB="0" distL="0" distR="0">
            <wp:extent cx="2705100" cy="1676400"/>
            <wp:effectExtent l="19050" t="0" r="19050" b="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F5E44">
        <w:rPr>
          <w:noProof/>
          <w:lang w:val="hr-HR" w:eastAsia="hr-HR"/>
        </w:rPr>
        <w:drawing>
          <wp:inline distT="0" distB="0" distL="0" distR="0">
            <wp:extent cx="2800350" cy="16764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5E44" w:rsidRDefault="002F5E44">
      <w:r w:rsidRPr="002F5E44">
        <w:rPr>
          <w:noProof/>
          <w:lang w:val="hr-HR" w:eastAsia="hr-HR"/>
        </w:rPr>
        <w:drawing>
          <wp:inline distT="0" distB="0" distL="0" distR="0">
            <wp:extent cx="5486400" cy="3200400"/>
            <wp:effectExtent l="19050" t="0" r="1905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0003" w:rsidRDefault="00E60003"/>
    <w:p w:rsidR="00E60003" w:rsidRDefault="00E60003"/>
    <w:p w:rsidR="00E60003" w:rsidRDefault="00E60003"/>
    <w:p w:rsidR="00E60003" w:rsidRDefault="00E60003" w:rsidP="00E60003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</w:p>
    <w:p w:rsidR="00E60003" w:rsidRDefault="00E60003" w:rsidP="00E60003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27 </w:t>
      </w:r>
      <w:proofErr w:type="spellStart"/>
      <w:r>
        <w:t>ispitanika</w:t>
      </w:r>
      <w:proofErr w:type="spellEnd"/>
      <w:r>
        <w:t>.</w:t>
      </w:r>
    </w:p>
    <w:p w:rsidR="00E60003" w:rsidRDefault="00E60003" w:rsidP="00E60003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48</w:t>
      </w:r>
      <w:proofErr w:type="gramStart"/>
      <w:r>
        <w:t>,14</w:t>
      </w:r>
      <w:proofErr w:type="gramEnd"/>
      <w:r>
        <w:t xml:space="preserve"> % </w:t>
      </w:r>
      <w:proofErr w:type="spellStart"/>
      <w:r>
        <w:t>ispitanika</w:t>
      </w:r>
      <w:proofErr w:type="spellEnd"/>
      <w:r>
        <w:t xml:space="preserve">  - “</w:t>
      </w:r>
      <w:proofErr w:type="spellStart"/>
      <w:r>
        <w:t>malo</w:t>
      </w:r>
      <w:proofErr w:type="spellEnd"/>
      <w:r>
        <w:t xml:space="preserve">”, 51,85 % </w:t>
      </w:r>
      <w:proofErr w:type="spellStart"/>
      <w:r>
        <w:t>ispitanika</w:t>
      </w:r>
      <w:proofErr w:type="spellEnd"/>
      <w:r>
        <w:t xml:space="preserve"> – </w:t>
      </w:r>
      <w:proofErr w:type="spellStart"/>
      <w:r>
        <w:t>dovoljno</w:t>
      </w:r>
      <w:proofErr w:type="spellEnd"/>
      <w:r>
        <w:t xml:space="preserve">, 0 %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E60003" w:rsidRDefault="00E60003" w:rsidP="00E60003">
      <w:r>
        <w:t>66</w:t>
      </w:r>
      <w:proofErr w:type="gramStart"/>
      <w:r>
        <w:t>,66</w:t>
      </w:r>
      <w:proofErr w:type="gramEnd"/>
      <w:r>
        <w:t xml:space="preserve"> 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>
        <w:t xml:space="preserve">, a 33,33 % </w:t>
      </w:r>
      <w:proofErr w:type="spellStart"/>
      <w:r>
        <w:t>iz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tiska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</w:p>
    <w:p w:rsidR="00E60003" w:rsidRDefault="00E60003" w:rsidP="00E60003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E60003" w:rsidRDefault="00E60003">
      <w:r w:rsidRPr="00E60003">
        <w:rPr>
          <w:noProof/>
          <w:lang w:val="hr-HR" w:eastAsia="hr-HR"/>
        </w:rPr>
        <w:drawing>
          <wp:inline distT="0" distB="0" distL="0" distR="0">
            <wp:extent cx="2705100" cy="1676400"/>
            <wp:effectExtent l="19050" t="0" r="1905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60003">
        <w:rPr>
          <w:noProof/>
          <w:lang w:val="hr-HR" w:eastAsia="hr-HR"/>
        </w:rPr>
        <w:drawing>
          <wp:inline distT="0" distB="0" distL="0" distR="0">
            <wp:extent cx="2800350" cy="1676400"/>
            <wp:effectExtent l="19050" t="0" r="19050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0003" w:rsidRDefault="00E60003">
      <w:r w:rsidRPr="00E60003">
        <w:rPr>
          <w:noProof/>
          <w:lang w:val="hr-HR" w:eastAsia="hr-HR"/>
        </w:rPr>
        <w:drawing>
          <wp:inline distT="0" distB="0" distL="0" distR="0">
            <wp:extent cx="5486400" cy="3200400"/>
            <wp:effectExtent l="19050" t="0" r="19050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0003" w:rsidRDefault="00E60003"/>
    <w:p w:rsidR="00E60003" w:rsidRDefault="00E60003"/>
    <w:p w:rsidR="00E60003" w:rsidRDefault="00E60003"/>
    <w:p w:rsidR="00E60003" w:rsidRDefault="00E60003" w:rsidP="00E60003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</w:t>
      </w:r>
      <w:proofErr w:type="spellStart"/>
      <w:r>
        <w:t>Industrijsko</w:t>
      </w:r>
      <w:proofErr w:type="spellEnd"/>
      <w:r>
        <w:t xml:space="preserve">- </w:t>
      </w:r>
      <w:proofErr w:type="spellStart"/>
      <w:r>
        <w:t>obrtnička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E60003" w:rsidRDefault="00E60003" w:rsidP="00E60003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27 </w:t>
      </w:r>
      <w:proofErr w:type="spellStart"/>
      <w:r>
        <w:t>ispitanika</w:t>
      </w:r>
      <w:proofErr w:type="spellEnd"/>
      <w:r>
        <w:t>.</w:t>
      </w:r>
    </w:p>
    <w:p w:rsidR="00E60003" w:rsidRDefault="00E60003" w:rsidP="00E60003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</w:t>
      </w:r>
      <w:r w:rsidR="00A6336E">
        <w:t>34</w:t>
      </w:r>
      <w:proofErr w:type="gramStart"/>
      <w:r w:rsidR="00A6336E">
        <w:t>,78</w:t>
      </w:r>
      <w:proofErr w:type="gramEnd"/>
      <w:r>
        <w:t xml:space="preserve"> % </w:t>
      </w:r>
      <w:proofErr w:type="spellStart"/>
      <w:r>
        <w:t>ispitanika</w:t>
      </w:r>
      <w:proofErr w:type="spellEnd"/>
      <w:r>
        <w:t xml:space="preserve">  - “</w:t>
      </w:r>
      <w:proofErr w:type="spellStart"/>
      <w:r>
        <w:t>malo</w:t>
      </w:r>
      <w:proofErr w:type="spellEnd"/>
      <w:r>
        <w:t xml:space="preserve">”, </w:t>
      </w:r>
      <w:r w:rsidR="00A6336E">
        <w:t>43,47</w:t>
      </w:r>
      <w:r>
        <w:t xml:space="preserve"> % </w:t>
      </w:r>
      <w:proofErr w:type="spellStart"/>
      <w:r>
        <w:t>ispitanika</w:t>
      </w:r>
      <w:proofErr w:type="spellEnd"/>
      <w:r>
        <w:t xml:space="preserve"> – </w:t>
      </w:r>
      <w:proofErr w:type="spellStart"/>
      <w:r>
        <w:t>dovoljno</w:t>
      </w:r>
      <w:proofErr w:type="spellEnd"/>
      <w:r>
        <w:t xml:space="preserve">, </w:t>
      </w:r>
      <w:r w:rsidR="00A6336E">
        <w:t>21,73</w:t>
      </w:r>
      <w:r>
        <w:t xml:space="preserve"> 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E60003" w:rsidRDefault="00A6336E" w:rsidP="00E60003">
      <w:r>
        <w:t>65</w:t>
      </w:r>
      <w:proofErr w:type="gramStart"/>
      <w:r>
        <w:t>,21</w:t>
      </w:r>
      <w:proofErr w:type="gramEnd"/>
      <w:r w:rsidR="00E60003">
        <w:t xml:space="preserve"> % </w:t>
      </w:r>
      <w:proofErr w:type="spellStart"/>
      <w:r w:rsidR="00E60003">
        <w:t>ispitanika</w:t>
      </w:r>
      <w:proofErr w:type="spellEnd"/>
      <w:r w:rsidR="00E60003">
        <w:t xml:space="preserve"> </w:t>
      </w:r>
      <w:proofErr w:type="spellStart"/>
      <w:r w:rsidR="00E60003">
        <w:t>informacije</w:t>
      </w:r>
      <w:proofErr w:type="spellEnd"/>
      <w:r w:rsidR="00E60003">
        <w:t xml:space="preserve"> o EU </w:t>
      </w:r>
      <w:proofErr w:type="spellStart"/>
      <w:r w:rsidR="00E60003">
        <w:t>dobiva</w:t>
      </w:r>
      <w:proofErr w:type="spellEnd"/>
      <w:r w:rsidR="00E60003">
        <w:t xml:space="preserve"> s </w:t>
      </w:r>
      <w:proofErr w:type="spellStart"/>
      <w:r w:rsidR="00E60003">
        <w:t>televizije</w:t>
      </w:r>
      <w:proofErr w:type="spellEnd"/>
      <w:r w:rsidR="00E60003">
        <w:t xml:space="preserve">, a </w:t>
      </w:r>
      <w:r>
        <w:t>34,78</w:t>
      </w:r>
      <w:r w:rsidR="00E60003">
        <w:t xml:space="preserve"> % </w:t>
      </w:r>
      <w:proofErr w:type="spellStart"/>
      <w:r w:rsidR="00E60003">
        <w:t>iz</w:t>
      </w:r>
      <w:proofErr w:type="spellEnd"/>
      <w:r w:rsidR="00E60003">
        <w:t xml:space="preserve"> </w:t>
      </w:r>
      <w:proofErr w:type="spellStart"/>
      <w:r w:rsidR="00E60003">
        <w:t>dnevnog</w:t>
      </w:r>
      <w:proofErr w:type="spellEnd"/>
      <w:r w:rsidR="00E60003">
        <w:t xml:space="preserve"> </w:t>
      </w:r>
      <w:proofErr w:type="spellStart"/>
      <w:r w:rsidR="00E60003">
        <w:t>tiska</w:t>
      </w:r>
      <w:proofErr w:type="spellEnd"/>
      <w:r w:rsidR="00E60003">
        <w:t xml:space="preserve"> </w:t>
      </w:r>
      <w:proofErr w:type="spellStart"/>
      <w:r w:rsidR="00E60003">
        <w:t>i</w:t>
      </w:r>
      <w:proofErr w:type="spellEnd"/>
      <w:r w:rsidR="00E60003">
        <w:t xml:space="preserve"> </w:t>
      </w:r>
      <w:proofErr w:type="spellStart"/>
      <w:r w:rsidR="00E60003">
        <w:t>interneta</w:t>
      </w:r>
      <w:proofErr w:type="spellEnd"/>
    </w:p>
    <w:p w:rsidR="00E60003" w:rsidRDefault="00E60003" w:rsidP="00E60003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E60003" w:rsidRDefault="00A6336E">
      <w:r w:rsidRPr="00A6336E">
        <w:rPr>
          <w:noProof/>
          <w:lang w:val="hr-HR" w:eastAsia="hr-HR"/>
        </w:rPr>
        <w:drawing>
          <wp:inline distT="0" distB="0" distL="0" distR="0">
            <wp:extent cx="2705100" cy="1676400"/>
            <wp:effectExtent l="19050" t="0" r="19050" b="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A6336E">
        <w:rPr>
          <w:noProof/>
          <w:lang w:val="hr-HR" w:eastAsia="hr-HR"/>
        </w:rPr>
        <w:drawing>
          <wp:inline distT="0" distB="0" distL="0" distR="0">
            <wp:extent cx="2800350" cy="1676400"/>
            <wp:effectExtent l="19050" t="0" r="19050" b="0"/>
            <wp:docPr id="1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6336E" w:rsidRDefault="00A6336E">
      <w:r w:rsidRPr="00A6336E">
        <w:rPr>
          <w:noProof/>
          <w:lang w:val="hr-HR" w:eastAsia="hr-HR"/>
        </w:rPr>
        <w:drawing>
          <wp:inline distT="0" distB="0" distL="0" distR="0">
            <wp:extent cx="5486400" cy="3200400"/>
            <wp:effectExtent l="19050" t="0" r="19050" b="0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6336E" w:rsidRDefault="00A6336E"/>
    <w:p w:rsidR="00A6336E" w:rsidRDefault="00A6336E"/>
    <w:p w:rsidR="00A6336E" w:rsidRDefault="00A6336E"/>
    <w:p w:rsidR="00A6336E" w:rsidRDefault="00A6336E" w:rsidP="00A6336E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</w:t>
      </w:r>
      <w:proofErr w:type="spellStart"/>
      <w:r>
        <w:t>Ekonomsko</w:t>
      </w:r>
      <w:proofErr w:type="spellEnd"/>
      <w:r>
        <w:t xml:space="preserve">- </w:t>
      </w:r>
      <w:proofErr w:type="spellStart"/>
      <w:r>
        <w:t>birotehnička</w:t>
      </w:r>
      <w:proofErr w:type="spellEnd"/>
    </w:p>
    <w:p w:rsidR="00A6336E" w:rsidRDefault="00A6336E" w:rsidP="00A6336E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="00C86BC6">
        <w:t>78</w:t>
      </w:r>
      <w:r>
        <w:t xml:space="preserve"> </w:t>
      </w:r>
      <w:proofErr w:type="spellStart"/>
      <w:r>
        <w:t>ispitanika</w:t>
      </w:r>
      <w:proofErr w:type="spellEnd"/>
      <w:r>
        <w:t>.</w:t>
      </w:r>
    </w:p>
    <w:p w:rsidR="00A6336E" w:rsidRDefault="00A6336E" w:rsidP="00A6336E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</w:t>
      </w:r>
      <w:r w:rsidR="00C86BC6">
        <w:t>64</w:t>
      </w:r>
      <w:proofErr w:type="gramStart"/>
      <w:r w:rsidR="00C86BC6">
        <w:t>,1</w:t>
      </w:r>
      <w:proofErr w:type="gramEnd"/>
      <w:r>
        <w:t xml:space="preserve"> % </w:t>
      </w:r>
      <w:proofErr w:type="spellStart"/>
      <w:r>
        <w:t>ispitanika</w:t>
      </w:r>
      <w:proofErr w:type="spellEnd"/>
      <w:r>
        <w:t xml:space="preserve">  - “</w:t>
      </w:r>
      <w:proofErr w:type="spellStart"/>
      <w:r>
        <w:t>malo</w:t>
      </w:r>
      <w:proofErr w:type="spellEnd"/>
      <w:r>
        <w:t xml:space="preserve">”, </w:t>
      </w:r>
      <w:r w:rsidR="00C86BC6">
        <w:t>32,05</w:t>
      </w:r>
      <w:r>
        <w:t xml:space="preserve"> % </w:t>
      </w:r>
      <w:proofErr w:type="spellStart"/>
      <w:r>
        <w:t>ispitanika</w:t>
      </w:r>
      <w:proofErr w:type="spellEnd"/>
      <w:r>
        <w:t xml:space="preserve"> – </w:t>
      </w:r>
      <w:proofErr w:type="spellStart"/>
      <w:r>
        <w:t>dovoljno</w:t>
      </w:r>
      <w:proofErr w:type="spellEnd"/>
      <w:r>
        <w:t xml:space="preserve">, </w:t>
      </w:r>
      <w:r w:rsidR="00C86BC6">
        <w:t>3,84</w:t>
      </w:r>
      <w:r>
        <w:t xml:space="preserve"> 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A6336E" w:rsidRDefault="00C86BC6" w:rsidP="00A6336E">
      <w:r>
        <w:t>82</w:t>
      </w:r>
      <w:proofErr w:type="gramStart"/>
      <w:r>
        <w:t>,05</w:t>
      </w:r>
      <w:proofErr w:type="gramEnd"/>
      <w:r w:rsidR="00A6336E">
        <w:t xml:space="preserve"> % </w:t>
      </w:r>
      <w:proofErr w:type="spellStart"/>
      <w:r w:rsidR="00A6336E">
        <w:t>ispitanika</w:t>
      </w:r>
      <w:proofErr w:type="spellEnd"/>
      <w:r w:rsidR="00A6336E">
        <w:t xml:space="preserve"> </w:t>
      </w:r>
      <w:proofErr w:type="spellStart"/>
      <w:r w:rsidR="00A6336E">
        <w:t>informacije</w:t>
      </w:r>
      <w:proofErr w:type="spellEnd"/>
      <w:r w:rsidR="00A6336E">
        <w:t xml:space="preserve"> o EU </w:t>
      </w:r>
      <w:proofErr w:type="spellStart"/>
      <w:r w:rsidR="00A6336E">
        <w:t>dobiva</w:t>
      </w:r>
      <w:proofErr w:type="spellEnd"/>
      <w:r w:rsidR="00A6336E">
        <w:t xml:space="preserve"> s </w:t>
      </w:r>
      <w:proofErr w:type="spellStart"/>
      <w:r w:rsidR="00A6336E">
        <w:t>televizije</w:t>
      </w:r>
      <w:proofErr w:type="spellEnd"/>
      <w:r w:rsidR="00A6336E">
        <w:t xml:space="preserve">, a </w:t>
      </w:r>
      <w:r>
        <w:t>17,94</w:t>
      </w:r>
      <w:r w:rsidR="00A6336E">
        <w:t xml:space="preserve"> % </w:t>
      </w:r>
      <w:proofErr w:type="spellStart"/>
      <w:r w:rsidR="00A6336E">
        <w:t>iz</w:t>
      </w:r>
      <w:proofErr w:type="spellEnd"/>
      <w:r w:rsidR="00A6336E">
        <w:t xml:space="preserve"> </w:t>
      </w:r>
      <w:proofErr w:type="spellStart"/>
      <w:r w:rsidR="00A6336E">
        <w:t>dnevnog</w:t>
      </w:r>
      <w:proofErr w:type="spellEnd"/>
      <w:r w:rsidR="00A6336E">
        <w:t xml:space="preserve"> </w:t>
      </w:r>
      <w:proofErr w:type="spellStart"/>
      <w:r w:rsidR="00A6336E">
        <w:t>tiska</w:t>
      </w:r>
      <w:proofErr w:type="spellEnd"/>
      <w:r w:rsidR="00A6336E">
        <w:t xml:space="preserve"> </w:t>
      </w:r>
      <w:proofErr w:type="spellStart"/>
      <w:r w:rsidR="00A6336E">
        <w:t>i</w:t>
      </w:r>
      <w:proofErr w:type="spellEnd"/>
      <w:r w:rsidR="00A6336E">
        <w:t xml:space="preserve"> </w:t>
      </w:r>
      <w:proofErr w:type="spellStart"/>
      <w:r w:rsidR="00A6336E">
        <w:t>interneta</w:t>
      </w:r>
      <w:proofErr w:type="spellEnd"/>
    </w:p>
    <w:p w:rsidR="00A6336E" w:rsidRDefault="00A6336E" w:rsidP="00A6336E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A6336E" w:rsidRDefault="000E79EE">
      <w:r w:rsidRPr="000E79EE">
        <w:rPr>
          <w:noProof/>
          <w:lang w:val="hr-HR" w:eastAsia="hr-HR"/>
        </w:rPr>
        <w:drawing>
          <wp:inline distT="0" distB="0" distL="0" distR="0">
            <wp:extent cx="2705100" cy="1676400"/>
            <wp:effectExtent l="19050" t="0" r="19050" b="0"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C86BC6" w:rsidRPr="00C86BC6">
        <w:rPr>
          <w:noProof/>
          <w:lang w:val="hr-HR" w:eastAsia="hr-HR"/>
        </w:rPr>
        <w:drawing>
          <wp:inline distT="0" distB="0" distL="0" distR="0">
            <wp:extent cx="2800350" cy="1676400"/>
            <wp:effectExtent l="19050" t="0" r="19050" b="0"/>
            <wp:docPr id="1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86BC6" w:rsidRDefault="00C86BC6">
      <w:r w:rsidRPr="00C86BC6">
        <w:rPr>
          <w:noProof/>
          <w:lang w:val="hr-HR" w:eastAsia="hr-HR"/>
        </w:rPr>
        <w:drawing>
          <wp:inline distT="0" distB="0" distL="0" distR="0">
            <wp:extent cx="5486400" cy="3200400"/>
            <wp:effectExtent l="19050" t="0" r="19050" b="0"/>
            <wp:docPr id="1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86BC6" w:rsidRDefault="00C86BC6"/>
    <w:p w:rsidR="00C86BC6" w:rsidRDefault="00C86BC6"/>
    <w:p w:rsidR="00C86BC6" w:rsidRDefault="00C86BC6"/>
    <w:p w:rsidR="00ED53FA" w:rsidRDefault="00ED53FA" w:rsidP="00ED53FA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</w:t>
      </w:r>
      <w:proofErr w:type="spellStart"/>
      <w:proofErr w:type="gramStart"/>
      <w:r>
        <w:t>škola</w:t>
      </w:r>
      <w:proofErr w:type="spellEnd"/>
      <w:r>
        <w:t xml:space="preserve">  </w:t>
      </w:r>
      <w:proofErr w:type="spellStart"/>
      <w:r>
        <w:t>Matije</w:t>
      </w:r>
      <w:proofErr w:type="spellEnd"/>
      <w:proofErr w:type="gramEnd"/>
      <w:r>
        <w:t xml:space="preserve"> </w:t>
      </w:r>
      <w:proofErr w:type="spellStart"/>
      <w:r>
        <w:t>Antuna</w:t>
      </w:r>
      <w:proofErr w:type="spellEnd"/>
      <w:r>
        <w:t xml:space="preserve"> </w:t>
      </w:r>
      <w:proofErr w:type="spellStart"/>
      <w:r>
        <w:t>Reljkovića</w:t>
      </w:r>
      <w:proofErr w:type="spellEnd"/>
    </w:p>
    <w:p w:rsidR="00ED53FA" w:rsidRDefault="00ED53FA" w:rsidP="00ED53FA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25 </w:t>
      </w:r>
      <w:proofErr w:type="spellStart"/>
      <w:r>
        <w:t>ispitanika</w:t>
      </w:r>
      <w:proofErr w:type="spellEnd"/>
      <w:r>
        <w:t>.</w:t>
      </w:r>
    </w:p>
    <w:p w:rsidR="00ED53FA" w:rsidRDefault="00ED53FA" w:rsidP="00ED53FA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32 % </w:t>
      </w:r>
      <w:proofErr w:type="spellStart"/>
      <w:proofErr w:type="gramStart"/>
      <w:r>
        <w:t>ispitanika</w:t>
      </w:r>
      <w:proofErr w:type="spellEnd"/>
      <w:r>
        <w:t xml:space="preserve">  -</w:t>
      </w:r>
      <w:proofErr w:type="gramEnd"/>
      <w:r>
        <w:t xml:space="preserve"> “</w:t>
      </w:r>
      <w:proofErr w:type="spellStart"/>
      <w:r>
        <w:t>malo</w:t>
      </w:r>
      <w:proofErr w:type="spellEnd"/>
      <w:r>
        <w:t xml:space="preserve">”, 48 % </w:t>
      </w:r>
      <w:proofErr w:type="spellStart"/>
      <w:r>
        <w:t>ispitanika</w:t>
      </w:r>
      <w:proofErr w:type="spellEnd"/>
      <w:r>
        <w:t xml:space="preserve"> – </w:t>
      </w:r>
      <w:proofErr w:type="spellStart"/>
      <w:r>
        <w:t>dovoljno</w:t>
      </w:r>
      <w:proofErr w:type="spellEnd"/>
      <w:r>
        <w:t xml:space="preserve">, 20 %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ED53FA" w:rsidRDefault="00ED53FA" w:rsidP="00ED53FA">
      <w:r>
        <w:t xml:space="preserve">80 %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>
        <w:t xml:space="preserve">, a 20 % </w:t>
      </w:r>
      <w:proofErr w:type="spellStart"/>
      <w:r>
        <w:t>iz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tiska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</w:p>
    <w:p w:rsidR="00ED53FA" w:rsidRDefault="00ED53FA" w:rsidP="00ED53FA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ED53FA" w:rsidRDefault="00ED53FA">
      <w:r w:rsidRPr="00ED53FA">
        <w:rPr>
          <w:noProof/>
          <w:lang w:val="hr-HR" w:eastAsia="hr-HR"/>
        </w:rPr>
        <w:drawing>
          <wp:inline distT="0" distB="0" distL="0" distR="0">
            <wp:extent cx="2705100" cy="1676400"/>
            <wp:effectExtent l="19050" t="0" r="19050" b="0"/>
            <wp:docPr id="2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ED53FA">
        <w:rPr>
          <w:noProof/>
          <w:lang w:val="hr-HR" w:eastAsia="hr-HR"/>
        </w:rPr>
        <w:drawing>
          <wp:inline distT="0" distB="0" distL="0" distR="0">
            <wp:extent cx="2800350" cy="1676400"/>
            <wp:effectExtent l="19050" t="0" r="19050" b="0"/>
            <wp:docPr id="2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D53FA" w:rsidRDefault="00ED53FA"/>
    <w:p w:rsidR="00ED53FA" w:rsidRDefault="00ED53FA">
      <w:r w:rsidRPr="00ED53FA">
        <w:rPr>
          <w:noProof/>
          <w:lang w:val="hr-HR" w:eastAsia="hr-HR"/>
        </w:rPr>
        <w:drawing>
          <wp:inline distT="0" distB="0" distL="0" distR="0">
            <wp:extent cx="5486400" cy="3200400"/>
            <wp:effectExtent l="19050" t="0" r="19050" b="0"/>
            <wp:docPr id="2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D53FA" w:rsidRDefault="00ED53FA"/>
    <w:p w:rsidR="00ED53FA" w:rsidRDefault="00ED53FA"/>
    <w:p w:rsidR="00215023" w:rsidRDefault="00215023" w:rsidP="00215023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</w:t>
      </w:r>
      <w:proofErr w:type="spellStart"/>
      <w:r w:rsidRPr="00215023">
        <w:t>Klasična</w:t>
      </w:r>
      <w:proofErr w:type="spellEnd"/>
      <w:r w:rsidRPr="00215023">
        <w:t xml:space="preserve"> </w:t>
      </w:r>
      <w:proofErr w:type="spellStart"/>
      <w:r w:rsidRPr="00215023">
        <w:t>gimnazija</w:t>
      </w:r>
      <w:proofErr w:type="spellEnd"/>
      <w:r w:rsidRPr="00215023">
        <w:t xml:space="preserve"> </w:t>
      </w:r>
      <w:proofErr w:type="spellStart"/>
      <w:proofErr w:type="gramStart"/>
      <w:r w:rsidRPr="00215023">
        <w:t>fra</w:t>
      </w:r>
      <w:proofErr w:type="spellEnd"/>
      <w:proofErr w:type="gramEnd"/>
      <w:r w:rsidRPr="00215023">
        <w:t xml:space="preserve"> </w:t>
      </w:r>
      <w:proofErr w:type="spellStart"/>
      <w:r w:rsidRPr="00215023">
        <w:t>Marijana</w:t>
      </w:r>
      <w:proofErr w:type="spellEnd"/>
      <w:r w:rsidRPr="00215023">
        <w:t xml:space="preserve"> </w:t>
      </w:r>
      <w:proofErr w:type="spellStart"/>
      <w:r w:rsidRPr="00215023">
        <w:t>Lanosovića</w:t>
      </w:r>
      <w:proofErr w:type="spellEnd"/>
    </w:p>
    <w:p w:rsidR="00215023" w:rsidRDefault="00215023" w:rsidP="00215023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23 </w:t>
      </w:r>
      <w:proofErr w:type="spellStart"/>
      <w:r>
        <w:t>ispitanika</w:t>
      </w:r>
      <w:proofErr w:type="spellEnd"/>
      <w:r>
        <w:t>.</w:t>
      </w:r>
    </w:p>
    <w:p w:rsidR="00215023" w:rsidRDefault="00215023" w:rsidP="00215023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34,78 % </w:t>
      </w:r>
      <w:proofErr w:type="spellStart"/>
      <w:r>
        <w:t>ispitanika</w:t>
      </w:r>
      <w:proofErr w:type="spellEnd"/>
      <w:r>
        <w:t xml:space="preserve">  - “</w:t>
      </w:r>
      <w:proofErr w:type="spellStart"/>
      <w:r>
        <w:t>malo</w:t>
      </w:r>
      <w:proofErr w:type="spellEnd"/>
      <w:r>
        <w:t xml:space="preserve">”, 60,86 % </w:t>
      </w:r>
      <w:proofErr w:type="spellStart"/>
      <w:r>
        <w:t>ispitanika</w:t>
      </w:r>
      <w:proofErr w:type="spellEnd"/>
      <w:r>
        <w:t xml:space="preserve"> – </w:t>
      </w:r>
      <w:proofErr w:type="spellStart"/>
      <w:r>
        <w:t>dovoljno</w:t>
      </w:r>
      <w:proofErr w:type="spellEnd"/>
      <w:r>
        <w:t xml:space="preserve">, 4,3 %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215023" w:rsidRDefault="00215023" w:rsidP="00215023">
      <w:r>
        <w:t>78</w:t>
      </w:r>
      <w:proofErr w:type="gramStart"/>
      <w:r>
        <w:t>,26</w:t>
      </w:r>
      <w:proofErr w:type="gramEnd"/>
      <w:r>
        <w:t xml:space="preserve"> 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>
        <w:t xml:space="preserve">, a 21,73 % </w:t>
      </w:r>
      <w:proofErr w:type="spellStart"/>
      <w:r>
        <w:t>iz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tiska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</w:p>
    <w:p w:rsidR="00215023" w:rsidRDefault="00215023" w:rsidP="00215023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215023" w:rsidRDefault="00215023" w:rsidP="00215023">
      <w:r w:rsidRPr="00215023">
        <w:rPr>
          <w:noProof/>
          <w:lang w:val="hr-HR" w:eastAsia="hr-HR"/>
        </w:rPr>
        <w:drawing>
          <wp:inline distT="0" distB="0" distL="0" distR="0">
            <wp:extent cx="2705100" cy="1676400"/>
            <wp:effectExtent l="19050" t="0" r="19050" b="0"/>
            <wp:docPr id="2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215023">
        <w:rPr>
          <w:noProof/>
          <w:lang w:val="hr-HR" w:eastAsia="hr-HR"/>
        </w:rPr>
        <w:drawing>
          <wp:inline distT="0" distB="0" distL="0" distR="0">
            <wp:extent cx="2800350" cy="1676400"/>
            <wp:effectExtent l="19050" t="0" r="19050" b="0"/>
            <wp:docPr id="2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15023" w:rsidRDefault="00215023">
      <w:r w:rsidRPr="00215023">
        <w:rPr>
          <w:noProof/>
          <w:lang w:val="hr-HR" w:eastAsia="hr-HR"/>
        </w:rPr>
        <w:drawing>
          <wp:inline distT="0" distB="0" distL="0" distR="0">
            <wp:extent cx="5486400" cy="3200400"/>
            <wp:effectExtent l="19050" t="0" r="19050" b="0"/>
            <wp:docPr id="2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15023" w:rsidRDefault="00215023"/>
    <w:p w:rsidR="00215023" w:rsidRDefault="00215023"/>
    <w:p w:rsidR="00215023" w:rsidRDefault="00215023"/>
    <w:p w:rsidR="00C86BC6" w:rsidRDefault="00C86BC6">
      <w:proofErr w:type="spellStart"/>
      <w:r>
        <w:lastRenderedPageBreak/>
        <w:t>Ukupni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-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9C1169" w:rsidRDefault="009C1169"/>
    <w:p w:rsidR="00C86BC6" w:rsidRDefault="00C86BC6">
      <w:r>
        <w:rPr>
          <w:noProof/>
          <w:lang w:val="hr-HR" w:eastAsia="hr-HR"/>
        </w:rPr>
        <w:drawing>
          <wp:inline distT="0" distB="0" distL="0" distR="0">
            <wp:extent cx="6029325" cy="4467225"/>
            <wp:effectExtent l="19050" t="0" r="9525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sectPr w:rsidR="00C86BC6" w:rsidSect="0096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20020"/>
    <w:rsid w:val="00020020"/>
    <w:rsid w:val="000240A8"/>
    <w:rsid w:val="00031459"/>
    <w:rsid w:val="000675BA"/>
    <w:rsid w:val="000834D0"/>
    <w:rsid w:val="000E79EE"/>
    <w:rsid w:val="00121580"/>
    <w:rsid w:val="00215023"/>
    <w:rsid w:val="00277125"/>
    <w:rsid w:val="002F5E44"/>
    <w:rsid w:val="003356AF"/>
    <w:rsid w:val="003E1C4C"/>
    <w:rsid w:val="004D42D0"/>
    <w:rsid w:val="00514CAE"/>
    <w:rsid w:val="00563A24"/>
    <w:rsid w:val="005C43AE"/>
    <w:rsid w:val="00836BE7"/>
    <w:rsid w:val="00841364"/>
    <w:rsid w:val="00887304"/>
    <w:rsid w:val="00931C15"/>
    <w:rsid w:val="009636E0"/>
    <w:rsid w:val="0099108A"/>
    <w:rsid w:val="009C1169"/>
    <w:rsid w:val="00A545B5"/>
    <w:rsid w:val="00A6336E"/>
    <w:rsid w:val="00A8332E"/>
    <w:rsid w:val="00B11785"/>
    <w:rsid w:val="00B64484"/>
    <w:rsid w:val="00B932D9"/>
    <w:rsid w:val="00B9768D"/>
    <w:rsid w:val="00C86BC6"/>
    <w:rsid w:val="00CE5BEE"/>
    <w:rsid w:val="00D407E9"/>
    <w:rsid w:val="00E60003"/>
    <w:rsid w:val="00ED53FA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27981961714245396"/>
          <c:y val="6.6666666666666693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0.58000000000000052</c:v>
                </c:pt>
                <c:pt idx="1">
                  <c:v>0.41000000000000031</c:v>
                </c:pt>
                <c:pt idx="2">
                  <c:v>1.000000000000003E-2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0.48140000000000038</c:v>
                </c:pt>
                <c:pt idx="1">
                  <c:v>0.51849999999999996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0.66660000000000175</c:v>
                </c:pt>
                <c:pt idx="1">
                  <c:v>0.33330000000000087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Tehnička škola Slavonski Brod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0.60380000000000089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Tehnička škola Slavonski Brod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0.53080000000000005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Tehnička škola Slavonski Brod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0.27160000000000001</c:v>
                </c:pt>
              </c:numCache>
            </c:numRef>
          </c:val>
        </c:ser>
        <c:axId val="96620928"/>
        <c:axId val="96622464"/>
      </c:barChart>
      <c:catAx>
        <c:axId val="9662092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6622464"/>
        <c:crosses val="autoZero"/>
        <c:auto val="1"/>
        <c:lblAlgn val="ctr"/>
        <c:lblOffset val="100"/>
      </c:catAx>
      <c:valAx>
        <c:axId val="9662246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662092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0.3478000000000005</c:v>
                </c:pt>
                <c:pt idx="1">
                  <c:v>0.43470000000000031</c:v>
                </c:pt>
                <c:pt idx="2">
                  <c:v>0.21730000000000024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0.65210000000000112</c:v>
                </c:pt>
                <c:pt idx="1">
                  <c:v>0.3478000000000005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Industrijsko-obrtnička škola Slavonski Brod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0.4461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Industrijsko-obrtnička škola Slavonski Brod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0.37680000000000052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Industrijsko-obrtnička škola Slavonski Brod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0.30430000000000051</c:v>
                </c:pt>
              </c:numCache>
            </c:numRef>
          </c:val>
        </c:ser>
        <c:axId val="102433920"/>
        <c:axId val="102435840"/>
      </c:barChart>
      <c:catAx>
        <c:axId val="1024339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2435840"/>
        <c:crosses val="autoZero"/>
        <c:auto val="1"/>
        <c:lblAlgn val="ctr"/>
        <c:lblOffset val="100"/>
      </c:catAx>
      <c:valAx>
        <c:axId val="10243584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243392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0.6410000000000009</c:v>
                </c:pt>
                <c:pt idx="1">
                  <c:v>0.32050000000000045</c:v>
                </c:pt>
                <c:pt idx="2">
                  <c:v>3.8399999999999997E-2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0.82050000000000001</c:v>
                </c:pt>
                <c:pt idx="1">
                  <c:v>0.17940000000000023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Ekonomsko-birotehnička škola Slavonski Brod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0.63690000000000091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Ekonomsko-birotehnička škola Slavonski Brod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0.54970000000000063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Ekonomsko-birotehnička škola Slavonski Brod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0.25540000000000002</c:v>
                </c:pt>
              </c:numCache>
            </c:numRef>
          </c:val>
        </c:ser>
        <c:axId val="105485440"/>
        <c:axId val="105486976"/>
      </c:barChart>
      <c:catAx>
        <c:axId val="10548544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5486976"/>
        <c:crosses val="autoZero"/>
        <c:auto val="1"/>
        <c:lblAlgn val="ctr"/>
        <c:lblOffset val="100"/>
      </c:catAx>
      <c:valAx>
        <c:axId val="10548697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548544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0.32000000000000034</c:v>
                </c:pt>
                <c:pt idx="1">
                  <c:v>0.48000000000000026</c:v>
                </c:pt>
                <c:pt idx="2">
                  <c:v>0.2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0.88600000000000001</c:v>
                </c:pt>
                <c:pt idx="1">
                  <c:v>0.114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Srednja škola Matije Antuna Reljkovića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0.44690000000000002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Srednja škola Matije Antuna Reljkovića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0.42660000000000026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Srednja škola Matije Antuna Reljkovića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0.2266</c:v>
                </c:pt>
              </c:numCache>
            </c:numRef>
          </c:val>
        </c:ser>
        <c:axId val="97235328"/>
        <c:axId val="97236864"/>
      </c:barChart>
      <c:catAx>
        <c:axId val="9723532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7236864"/>
        <c:crosses val="autoZero"/>
        <c:auto val="1"/>
        <c:lblAlgn val="ctr"/>
        <c:lblOffset val="100"/>
      </c:catAx>
      <c:valAx>
        <c:axId val="9723686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723532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0.34780000000000016</c:v>
                </c:pt>
                <c:pt idx="1">
                  <c:v>0.60860000000000036</c:v>
                </c:pt>
                <c:pt idx="2">
                  <c:v>3.8399999999999997E-2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0.78259999999999996</c:v>
                </c:pt>
                <c:pt idx="1">
                  <c:v>0.21730000000000008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Klasična gimnazija fra Marijana Lanosovića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0.94510000000000005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Klasična gimnazija fra Marijana Lanosovića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0.86950000000000005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Klasična gimnazija fra Marijana Lanosovića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0.62310000000000032</c:v>
                </c:pt>
              </c:numCache>
            </c:numRef>
          </c:val>
        </c:ser>
        <c:axId val="97205632"/>
        <c:axId val="105010304"/>
      </c:barChart>
      <c:catAx>
        <c:axId val="9720563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5010304"/>
        <c:crosses val="autoZero"/>
        <c:auto val="1"/>
        <c:lblAlgn val="ctr"/>
        <c:lblOffset val="100"/>
      </c:catAx>
      <c:valAx>
        <c:axId val="10501030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720563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DRŽAVAMA EU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Klasična gimnazija fra Marijana Lanosovića</c:v>
                </c:pt>
                <c:pt idx="1">
                  <c:v>Gimnazija "Matija Mesić"</c:v>
                </c:pt>
                <c:pt idx="2">
                  <c:v>Ekonomsko - birotehnička škola</c:v>
                </c:pt>
                <c:pt idx="3">
                  <c:v>Tehnička škola</c:v>
                </c:pt>
                <c:pt idx="4">
                  <c:v>Srednja medicinska škola</c:v>
                </c:pt>
                <c:pt idx="5">
                  <c:v>Srednja škola Matije Antuna Reljkovića</c:v>
                </c:pt>
                <c:pt idx="6">
                  <c:v>Industrijsko - obrtnička škola</c:v>
                </c:pt>
                <c:pt idx="7">
                  <c:v>Obrtnička škola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94.51</c:v>
                </c:pt>
                <c:pt idx="1">
                  <c:v>64.410000000000011</c:v>
                </c:pt>
                <c:pt idx="2">
                  <c:v>63.690000000000005</c:v>
                </c:pt>
                <c:pt idx="3">
                  <c:v>60.379999999999995</c:v>
                </c:pt>
                <c:pt idx="4">
                  <c:v>47.41</c:v>
                </c:pt>
                <c:pt idx="5">
                  <c:v>44.690000000000005</c:v>
                </c:pt>
                <c:pt idx="6">
                  <c:v>44.61</c:v>
                </c:pt>
                <c:pt idx="7">
                  <c:v>33.56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Klasična gimnazija fra Marijana Lanosovića</c:v>
                </c:pt>
                <c:pt idx="1">
                  <c:v>Gimnazija "Matija Mesić"</c:v>
                </c:pt>
                <c:pt idx="2">
                  <c:v>Ekonomsko - birotehnička škola</c:v>
                </c:pt>
                <c:pt idx="3">
                  <c:v>Tehnička škola</c:v>
                </c:pt>
                <c:pt idx="4">
                  <c:v>Srednja medicinska škola</c:v>
                </c:pt>
                <c:pt idx="5">
                  <c:v>Srednja škola Matije Antuna Reljkovića</c:v>
                </c:pt>
                <c:pt idx="6">
                  <c:v>Industrijsko - obrtnička škola</c:v>
                </c:pt>
                <c:pt idx="7">
                  <c:v>Obrtnička škola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86.95</c:v>
                </c:pt>
                <c:pt idx="1">
                  <c:v>65.13</c:v>
                </c:pt>
                <c:pt idx="2">
                  <c:v>54.97</c:v>
                </c:pt>
                <c:pt idx="3">
                  <c:v>53.08</c:v>
                </c:pt>
                <c:pt idx="4">
                  <c:v>48.949999999999996</c:v>
                </c:pt>
                <c:pt idx="5">
                  <c:v>42.660000000000004</c:v>
                </c:pt>
                <c:pt idx="6">
                  <c:v>37.68</c:v>
                </c:pt>
                <c:pt idx="7">
                  <c:v>41.33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Klasična gimnazija fra Marijana Lanosovića</c:v>
                </c:pt>
                <c:pt idx="1">
                  <c:v>Gimnazija "Matija Mesić"</c:v>
                </c:pt>
                <c:pt idx="2">
                  <c:v>Ekonomsko - birotehnička škola</c:v>
                </c:pt>
                <c:pt idx="3">
                  <c:v>Tehnička škola</c:v>
                </c:pt>
                <c:pt idx="4">
                  <c:v>Srednja medicinska škola</c:v>
                </c:pt>
                <c:pt idx="5">
                  <c:v>Srednja škola Matije Antuna Reljkovića</c:v>
                </c:pt>
                <c:pt idx="6">
                  <c:v>Industrijsko - obrtnička škola</c:v>
                </c:pt>
                <c:pt idx="7">
                  <c:v>Obrtnička škola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62.309999999999995</c:v>
                </c:pt>
                <c:pt idx="1">
                  <c:v>29.5</c:v>
                </c:pt>
                <c:pt idx="2">
                  <c:v>25.54</c:v>
                </c:pt>
                <c:pt idx="3">
                  <c:v>27.16</c:v>
                </c:pt>
                <c:pt idx="4">
                  <c:v>26.04</c:v>
                </c:pt>
                <c:pt idx="5">
                  <c:v>22.66</c:v>
                </c:pt>
                <c:pt idx="6">
                  <c:v>30.43</c:v>
                </c:pt>
                <c:pt idx="7">
                  <c:v>24</c:v>
                </c:pt>
              </c:numCache>
            </c:numRef>
          </c:val>
        </c:ser>
        <c:axId val="104929152"/>
        <c:axId val="104930688"/>
      </c:barChart>
      <c:catAx>
        <c:axId val="1049291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4930688"/>
        <c:crosses val="autoZero"/>
        <c:auto val="1"/>
        <c:lblAlgn val="ctr"/>
        <c:lblOffset val="100"/>
      </c:catAx>
      <c:valAx>
        <c:axId val="104930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492915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Gimnazija "Matija Mesić"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0.64410000000000156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Gimnazija "Matija Mesić"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0.65130000000000143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Gimnazija "Matija Mesić"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0.29500000000000032</c:v>
                </c:pt>
              </c:numCache>
            </c:numRef>
          </c:val>
        </c:ser>
        <c:axId val="91617920"/>
        <c:axId val="91931008"/>
      </c:barChart>
      <c:catAx>
        <c:axId val="916179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1931008"/>
        <c:crosses val="autoZero"/>
        <c:auto val="1"/>
        <c:lblAlgn val="ctr"/>
        <c:lblOffset val="100"/>
      </c:catAx>
      <c:valAx>
        <c:axId val="9193100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161792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0.36000000000000032</c:v>
                </c:pt>
                <c:pt idx="1">
                  <c:v>0.60000000000000064</c:v>
                </c:pt>
                <c:pt idx="2">
                  <c:v>4.0000000000000022E-2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0.96000000000000063</c:v>
                </c:pt>
                <c:pt idx="1">
                  <c:v>4.0000000000000022E-2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Obrtnička škola Slavonski Brod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0.32260000000000072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Obrtnička škola Slavonski Brod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0.33560000000000084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Obrtnička škola Slavonski Brod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0.24000000000000021</c:v>
                </c:pt>
              </c:numCache>
            </c:numRef>
          </c:val>
        </c:ser>
        <c:axId val="92988928"/>
        <c:axId val="92990848"/>
      </c:barChart>
      <c:catAx>
        <c:axId val="9298892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2990848"/>
        <c:crosses val="autoZero"/>
        <c:auto val="1"/>
        <c:lblAlgn val="ctr"/>
        <c:lblOffset val="100"/>
      </c:catAx>
      <c:valAx>
        <c:axId val="9299084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298892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0.5625</c:v>
                </c:pt>
                <c:pt idx="1">
                  <c:v>0.40600000000000008</c:v>
                </c:pt>
                <c:pt idx="2">
                  <c:v>3.1199999999999999E-2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0.84370000000000134</c:v>
                </c:pt>
                <c:pt idx="1">
                  <c:v>0.15620000000000037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Srednja medicinska škola Slavonski Brod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0.47420000000000001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Srednja medicinska škola Slavonski Brod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0.48950000000000032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Srednja medicinska škola Slavonski Brod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0.26040000000000002</c:v>
                </c:pt>
              </c:numCache>
            </c:numRef>
          </c:val>
        </c:ser>
        <c:axId val="94950912"/>
        <c:axId val="94952832"/>
      </c:barChart>
      <c:catAx>
        <c:axId val="9495091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4952832"/>
        <c:crosses val="autoZero"/>
        <c:auto val="1"/>
        <c:lblAlgn val="ctr"/>
        <c:lblOffset val="100"/>
      </c:catAx>
      <c:valAx>
        <c:axId val="9495283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495091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2011-04-12T07:55:00Z</dcterms:created>
  <dcterms:modified xsi:type="dcterms:W3CDTF">2011-06-23T20:14:00Z</dcterms:modified>
</cp:coreProperties>
</file>