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1" w:rsidRDefault="00D320F1" w:rsidP="00D320F1">
      <w:proofErr w:type="spellStart"/>
      <w:r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OŠ “</w:t>
      </w:r>
      <w:proofErr w:type="spellStart"/>
      <w:r>
        <w:t>Bogoslav</w:t>
      </w:r>
      <w:proofErr w:type="spellEnd"/>
      <w:r>
        <w:t xml:space="preserve"> </w:t>
      </w:r>
      <w:proofErr w:type="spellStart"/>
      <w:r>
        <w:t>Šulek</w:t>
      </w:r>
      <w:proofErr w:type="spellEnd"/>
      <w:r>
        <w:t>”</w:t>
      </w:r>
    </w:p>
    <w:p w:rsidR="00D320F1" w:rsidRDefault="00D320F1" w:rsidP="00D320F1"/>
    <w:p w:rsidR="00D320F1" w:rsidRDefault="00D320F1" w:rsidP="00D320F1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25 </w:t>
      </w:r>
      <w:proofErr w:type="spellStart"/>
      <w:r>
        <w:t>ispitanika</w:t>
      </w:r>
      <w:proofErr w:type="spellEnd"/>
      <w:r>
        <w:t>.</w:t>
      </w:r>
    </w:p>
    <w:p w:rsidR="00D320F1" w:rsidRDefault="00D320F1" w:rsidP="00D320F1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24 % </w:t>
      </w:r>
      <w:proofErr w:type="spellStart"/>
      <w:proofErr w:type="gramStart"/>
      <w:r>
        <w:t>ispitanika</w:t>
      </w:r>
      <w:proofErr w:type="spellEnd"/>
      <w:r>
        <w:t xml:space="preserve">  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68% </w:t>
      </w:r>
      <w:proofErr w:type="spellStart"/>
      <w:r>
        <w:t>ispitanika</w:t>
      </w:r>
      <w:proofErr w:type="spellEnd"/>
      <w:r>
        <w:t xml:space="preserve"> – </w:t>
      </w:r>
      <w:proofErr w:type="spellStart"/>
      <w:r>
        <w:t>dovoljno</w:t>
      </w:r>
      <w:proofErr w:type="spellEnd"/>
      <w:r>
        <w:t xml:space="preserve">, 8%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D320F1" w:rsidRDefault="00D320F1" w:rsidP="00D320F1">
      <w:r>
        <w:t xml:space="preserve">68%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32%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D320F1" w:rsidRDefault="00D320F1" w:rsidP="00D320F1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CA5A95" w:rsidRDefault="00D320F1">
      <w:r w:rsidRPr="00D320F1">
        <w:rPr>
          <w:noProof/>
          <w:lang w:val="hr-HR" w:eastAsia="hr-HR"/>
        </w:rPr>
        <w:drawing>
          <wp:inline distT="0" distB="0" distL="0" distR="0">
            <wp:extent cx="2657475" cy="1676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D320F1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20F1" w:rsidRDefault="00D320F1"/>
    <w:p w:rsidR="00D320F1" w:rsidRDefault="00D320F1">
      <w:r w:rsidRPr="00D320F1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66B2" w:rsidRDefault="00AF66B2"/>
    <w:p w:rsidR="00AF66B2" w:rsidRDefault="00AF66B2" w:rsidP="00AF66B2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OŠ “Vladimir </w:t>
      </w:r>
      <w:proofErr w:type="spellStart"/>
      <w:r>
        <w:t>Nazor</w:t>
      </w:r>
      <w:proofErr w:type="spellEnd"/>
      <w:r>
        <w:t>”</w:t>
      </w:r>
    </w:p>
    <w:p w:rsidR="00AF66B2" w:rsidRDefault="00AF66B2" w:rsidP="00AF66B2"/>
    <w:p w:rsidR="00AF66B2" w:rsidRDefault="00AF66B2" w:rsidP="00AF66B2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38 </w:t>
      </w:r>
      <w:proofErr w:type="spellStart"/>
      <w:r>
        <w:t>ispitanika</w:t>
      </w:r>
      <w:proofErr w:type="spellEnd"/>
      <w:r>
        <w:t>.</w:t>
      </w:r>
    </w:p>
    <w:p w:rsidR="00AF66B2" w:rsidRDefault="00AF66B2" w:rsidP="00AF66B2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48 % </w:t>
      </w:r>
      <w:proofErr w:type="spellStart"/>
      <w:proofErr w:type="gramStart"/>
      <w:r>
        <w:t>ispitanika</w:t>
      </w:r>
      <w:proofErr w:type="spellEnd"/>
      <w:r>
        <w:t xml:space="preserve">  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40% </w:t>
      </w:r>
      <w:proofErr w:type="spellStart"/>
      <w:r>
        <w:t>ispitanika</w:t>
      </w:r>
      <w:proofErr w:type="spellEnd"/>
      <w:r>
        <w:t xml:space="preserve"> – dovoljno,12%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AF66B2" w:rsidRDefault="00AF66B2" w:rsidP="00AF66B2">
      <w:r>
        <w:t xml:space="preserve">76%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a24%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AF66B2" w:rsidRDefault="00AF66B2" w:rsidP="00AF66B2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AF66B2" w:rsidRDefault="00AF66B2">
      <w:r w:rsidRPr="00AF66B2">
        <w:rPr>
          <w:noProof/>
          <w:lang w:val="hr-HR" w:eastAsia="hr-HR"/>
        </w:rPr>
        <w:drawing>
          <wp:inline distT="0" distB="0" distL="0" distR="0">
            <wp:extent cx="2657475" cy="1676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F66B2">
        <w:rPr>
          <w:noProof/>
          <w:lang w:val="hr-HR" w:eastAsia="hr-HR"/>
        </w:rPr>
        <w:drawing>
          <wp:inline distT="0" distB="0" distL="0" distR="0">
            <wp:extent cx="2800350" cy="1676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6B2" w:rsidRDefault="00AF66B2"/>
    <w:p w:rsidR="00AF66B2" w:rsidRDefault="00AF66B2">
      <w:r w:rsidRPr="00AF66B2">
        <w:rPr>
          <w:noProof/>
          <w:lang w:val="hr-HR" w:eastAsia="hr-HR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558" w:rsidRDefault="00D66558"/>
    <w:p w:rsidR="00D66558" w:rsidRDefault="00D66558" w:rsidP="00D66558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OŠ “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Brlić-Mažuranić</w:t>
      </w:r>
      <w:proofErr w:type="spellEnd"/>
      <w:r>
        <w:t>”</w:t>
      </w:r>
    </w:p>
    <w:p w:rsidR="00D66558" w:rsidRDefault="00D66558" w:rsidP="00D66558"/>
    <w:p w:rsidR="00D66558" w:rsidRDefault="00D66558" w:rsidP="00D66558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24 </w:t>
      </w:r>
      <w:proofErr w:type="spellStart"/>
      <w:r>
        <w:t>ispitanika</w:t>
      </w:r>
      <w:proofErr w:type="spellEnd"/>
      <w:r>
        <w:t>.</w:t>
      </w:r>
    </w:p>
    <w:p w:rsidR="00D66558" w:rsidRDefault="00D66558" w:rsidP="00D66558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25 % </w:t>
      </w:r>
      <w:proofErr w:type="spellStart"/>
      <w:proofErr w:type="gramStart"/>
      <w:r>
        <w:t>ispitanika</w:t>
      </w:r>
      <w:proofErr w:type="spellEnd"/>
      <w:r>
        <w:t xml:space="preserve">  -</w:t>
      </w:r>
      <w:proofErr w:type="gramEnd"/>
      <w:r>
        <w:t xml:space="preserve"> “</w:t>
      </w:r>
      <w:proofErr w:type="spellStart"/>
      <w:r>
        <w:t>malo</w:t>
      </w:r>
      <w:proofErr w:type="spellEnd"/>
      <w:r>
        <w:t xml:space="preserve">”, 66,6% </w:t>
      </w:r>
      <w:proofErr w:type="spellStart"/>
      <w:r>
        <w:t>ispitanika</w:t>
      </w:r>
      <w:proofErr w:type="spellEnd"/>
      <w:r>
        <w:t xml:space="preserve"> – dovoljno,8,4%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D66558" w:rsidRDefault="00D66558" w:rsidP="00D66558">
      <w:r>
        <w:t>41</w:t>
      </w:r>
      <w:proofErr w:type="gramStart"/>
      <w:r>
        <w:t>,6</w:t>
      </w:r>
      <w:proofErr w:type="gramEnd"/>
      <w:r>
        <w:t xml:space="preserve">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58,4%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D66558" w:rsidRDefault="00D66558" w:rsidP="00D66558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D66558" w:rsidRDefault="00D66558">
      <w:r w:rsidRPr="00D66558">
        <w:drawing>
          <wp:inline distT="0" distB="0" distL="0" distR="0">
            <wp:extent cx="2657475" cy="1676400"/>
            <wp:effectExtent l="19050" t="0" r="952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66558">
        <w:drawing>
          <wp:inline distT="0" distB="0" distL="0" distR="0">
            <wp:extent cx="2800350" cy="16764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6558" w:rsidRDefault="00D66558">
      <w:r w:rsidRPr="00D66558">
        <w:drawing>
          <wp:inline distT="0" distB="0" distL="0" distR="0">
            <wp:extent cx="5486400" cy="3200400"/>
            <wp:effectExtent l="19050" t="0" r="1905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6558" w:rsidRDefault="00D66558"/>
    <w:p w:rsidR="00D66558" w:rsidRDefault="00D66558"/>
    <w:p w:rsidR="00D66558" w:rsidRDefault="00D66558" w:rsidP="00D66558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OŠ “</w:t>
      </w:r>
      <w:proofErr w:type="spellStart"/>
      <w:r>
        <w:t>Đuro</w:t>
      </w:r>
      <w:proofErr w:type="spellEnd"/>
      <w:r>
        <w:t xml:space="preserve"> </w:t>
      </w:r>
      <w:proofErr w:type="spellStart"/>
      <w:r>
        <w:t>Pilar</w:t>
      </w:r>
      <w:proofErr w:type="spellEnd"/>
      <w:r>
        <w:t>”</w:t>
      </w:r>
    </w:p>
    <w:p w:rsidR="00D66558" w:rsidRDefault="00D66558" w:rsidP="00D66558"/>
    <w:p w:rsidR="00D66558" w:rsidRDefault="00D66558" w:rsidP="00D66558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BC10B2">
        <w:t>41</w:t>
      </w:r>
      <w:r>
        <w:t xml:space="preserve"> </w:t>
      </w:r>
      <w:proofErr w:type="spellStart"/>
      <w:r>
        <w:t>ispitanika</w:t>
      </w:r>
      <w:proofErr w:type="spellEnd"/>
      <w:r>
        <w:t>.</w:t>
      </w:r>
    </w:p>
    <w:p w:rsidR="00D66558" w:rsidRDefault="00D66558" w:rsidP="00D66558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36</w:t>
      </w:r>
      <w:proofErr w:type="gramStart"/>
      <w:r>
        <w:t>,58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58,53% </w:t>
      </w:r>
      <w:proofErr w:type="spellStart"/>
      <w:r>
        <w:t>ispitanika</w:t>
      </w:r>
      <w:proofErr w:type="spellEnd"/>
      <w:r>
        <w:t xml:space="preserve"> – dovoljno,4,87%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D66558" w:rsidRDefault="00D66558" w:rsidP="00D66558">
      <w:r>
        <w:t>56</w:t>
      </w:r>
      <w:proofErr w:type="gramStart"/>
      <w:r>
        <w:t>,09</w:t>
      </w:r>
      <w:proofErr w:type="gramEnd"/>
      <w:r>
        <w:t xml:space="preserve">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43,9%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D66558" w:rsidRDefault="00D66558" w:rsidP="00D66558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D66558" w:rsidRDefault="00D66558">
      <w:r w:rsidRPr="00D66558">
        <w:drawing>
          <wp:inline distT="0" distB="0" distL="0" distR="0">
            <wp:extent cx="2657475" cy="1676400"/>
            <wp:effectExtent l="19050" t="0" r="9525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66558">
        <w:drawing>
          <wp:inline distT="0" distB="0" distL="0" distR="0">
            <wp:extent cx="2800350" cy="1676400"/>
            <wp:effectExtent l="19050" t="0" r="19050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6558" w:rsidRDefault="00D66558">
      <w:r w:rsidRPr="00D66558">
        <w:drawing>
          <wp:inline distT="0" distB="0" distL="0" distR="0">
            <wp:extent cx="5486400" cy="3200400"/>
            <wp:effectExtent l="19050" t="0" r="1905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6558" w:rsidRDefault="00D66558"/>
    <w:p w:rsidR="00D66558" w:rsidRDefault="00D66558"/>
    <w:p w:rsidR="00BC10B2" w:rsidRDefault="00BC10B2" w:rsidP="00BC10B2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OŠ “</w:t>
      </w:r>
      <w:proofErr w:type="spellStart"/>
      <w:r>
        <w:t>Dragutin</w:t>
      </w:r>
      <w:proofErr w:type="spellEnd"/>
      <w:r>
        <w:t xml:space="preserve"> </w:t>
      </w:r>
      <w:proofErr w:type="spellStart"/>
      <w:r>
        <w:t>Tadijanović</w:t>
      </w:r>
      <w:proofErr w:type="spellEnd"/>
      <w:r>
        <w:t>”</w:t>
      </w:r>
    </w:p>
    <w:p w:rsidR="00BC10B2" w:rsidRDefault="00BC10B2" w:rsidP="00BC10B2"/>
    <w:p w:rsidR="00BC10B2" w:rsidRDefault="00BC10B2" w:rsidP="00BC10B2">
      <w:proofErr w:type="spellStart"/>
      <w:r>
        <w:t>Ispitivanje</w:t>
      </w:r>
      <w:proofErr w:type="spellEnd"/>
      <w:r>
        <w:t xml:space="preserve"> </w:t>
      </w:r>
      <w:proofErr w:type="spellStart"/>
      <w:proofErr w:type="gramStart"/>
      <w:r>
        <w:t>provedeno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23 </w:t>
      </w:r>
      <w:proofErr w:type="spellStart"/>
      <w:r>
        <w:t>ispitanika</w:t>
      </w:r>
      <w:proofErr w:type="spellEnd"/>
      <w:r>
        <w:t>.</w:t>
      </w:r>
    </w:p>
    <w:p w:rsidR="00BC10B2" w:rsidRDefault="00BC10B2" w:rsidP="00BC10B2">
      <w:r>
        <w:t xml:space="preserve">Na </w:t>
      </w:r>
      <w:proofErr w:type="spellStart"/>
      <w:r>
        <w:t>pitanje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o EU?”   30</w:t>
      </w:r>
      <w:proofErr w:type="gramStart"/>
      <w:r>
        <w:t>,43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 - “</w:t>
      </w:r>
      <w:proofErr w:type="spellStart"/>
      <w:r>
        <w:t>malo</w:t>
      </w:r>
      <w:proofErr w:type="spellEnd"/>
      <w:r>
        <w:t xml:space="preserve">”, 52,17% </w:t>
      </w:r>
      <w:proofErr w:type="spellStart"/>
      <w:r>
        <w:t>ispitanika</w:t>
      </w:r>
      <w:proofErr w:type="spellEnd"/>
      <w:r>
        <w:t xml:space="preserve"> – dovoljno,17,39% </w:t>
      </w:r>
      <w:proofErr w:type="spellStart"/>
      <w:r>
        <w:t>ispitanika</w:t>
      </w:r>
      <w:proofErr w:type="spellEnd"/>
      <w:r>
        <w:t xml:space="preserve">- </w:t>
      </w:r>
      <w:proofErr w:type="spellStart"/>
      <w:r>
        <w:t>puno</w:t>
      </w:r>
      <w:proofErr w:type="spellEnd"/>
      <w:r>
        <w:t>.</w:t>
      </w:r>
    </w:p>
    <w:p w:rsidR="00BC10B2" w:rsidRDefault="00BC10B2" w:rsidP="00BC10B2">
      <w:r>
        <w:t>69</w:t>
      </w:r>
      <w:proofErr w:type="gramStart"/>
      <w:r>
        <w:t>,56</w:t>
      </w:r>
      <w:proofErr w:type="gramEnd"/>
      <w:r>
        <w:t xml:space="preserve">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EU </w:t>
      </w:r>
      <w:proofErr w:type="spellStart"/>
      <w:r>
        <w:t>dobiva</w:t>
      </w:r>
      <w:proofErr w:type="spellEnd"/>
      <w:r>
        <w:t xml:space="preserve"> s </w:t>
      </w:r>
      <w:proofErr w:type="spellStart"/>
      <w:r>
        <w:t>televizije</w:t>
      </w:r>
      <w:proofErr w:type="spellEnd"/>
      <w:r>
        <w:t xml:space="preserve">, a 30,44%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</w:p>
    <w:p w:rsidR="00BC10B2" w:rsidRDefault="00BC10B2" w:rsidP="00BC10B2">
      <w:proofErr w:type="spellStart"/>
      <w:r>
        <w:t>Ispitanici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podjeljenih</w:t>
      </w:r>
      <w:proofErr w:type="spellEnd"/>
      <w:r>
        <w:t xml:space="preserve"> u 3 </w:t>
      </w:r>
      <w:proofErr w:type="spellStart"/>
      <w:r>
        <w:t>kategorije</w:t>
      </w:r>
      <w:proofErr w:type="spellEnd"/>
      <w:r>
        <w:t xml:space="preserve">: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državama</w:t>
      </w:r>
      <w:proofErr w:type="spellEnd"/>
      <w:r>
        <w:t xml:space="preserve"> EU,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EU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EU.</w:t>
      </w:r>
    </w:p>
    <w:p w:rsidR="00D66558" w:rsidRDefault="00BC10B2">
      <w:r w:rsidRPr="00BC10B2">
        <w:drawing>
          <wp:inline distT="0" distB="0" distL="0" distR="0">
            <wp:extent cx="2657475" cy="1676400"/>
            <wp:effectExtent l="19050" t="0" r="9525" b="0"/>
            <wp:docPr id="1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C10B2">
        <w:drawing>
          <wp:inline distT="0" distB="0" distL="0" distR="0">
            <wp:extent cx="2800350" cy="1676400"/>
            <wp:effectExtent l="19050" t="0" r="19050" b="0"/>
            <wp:docPr id="1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6558" w:rsidRDefault="00BC10B2">
      <w:r w:rsidRPr="00BC10B2">
        <w:drawing>
          <wp:inline distT="0" distB="0" distL="0" distR="0">
            <wp:extent cx="5486400" cy="3200400"/>
            <wp:effectExtent l="19050" t="0" r="1905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6558" w:rsidRDefault="00D66558"/>
    <w:p w:rsidR="00D66558" w:rsidRDefault="00D66558"/>
    <w:p w:rsidR="00E9669D" w:rsidRDefault="00E9669D" w:rsidP="00E9669D">
      <w:proofErr w:type="spellStart"/>
      <w:r>
        <w:lastRenderedPageBreak/>
        <w:t>Ukupni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-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D66558" w:rsidRDefault="00D66558"/>
    <w:p w:rsidR="00D66558" w:rsidRDefault="00D66558">
      <w:r w:rsidRPr="00D66558">
        <w:drawing>
          <wp:inline distT="0" distB="0" distL="0" distR="0">
            <wp:extent cx="5943600" cy="4403673"/>
            <wp:effectExtent l="19050" t="0" r="1905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p w:rsidR="00D66558" w:rsidRDefault="00D66558"/>
    <w:sectPr w:rsidR="00D66558" w:rsidSect="00C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20F1"/>
    <w:rsid w:val="00AF66B2"/>
    <w:rsid w:val="00BC10B2"/>
    <w:rsid w:val="00BD0CCD"/>
    <w:rsid w:val="00CA5A95"/>
    <w:rsid w:val="00D035F8"/>
    <w:rsid w:val="00D320F1"/>
    <w:rsid w:val="00D66558"/>
    <w:rsid w:val="00E9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346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0.24000000000000013</c:v>
                </c:pt>
                <c:pt idx="1">
                  <c:v>0.6800000000000006</c:v>
                </c:pt>
                <c:pt idx="2">
                  <c:v>8.0000000000000057E-2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418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0.36580000000000007</c:v>
                </c:pt>
                <c:pt idx="1">
                  <c:v>0.58529999999999993</c:v>
                </c:pt>
                <c:pt idx="2">
                  <c:v>4.8700000000000007E-2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0.56089999999999995</c:v>
                </c:pt>
                <c:pt idx="1">
                  <c:v>0.43900000000000006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Đuro Pilar"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0.53120000000000001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Đuro Pilar"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Đuro Pilar"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0.27640000000000003</c:v>
                </c:pt>
              </c:numCache>
            </c:numRef>
          </c:val>
        </c:ser>
        <c:axId val="104887424"/>
        <c:axId val="104888960"/>
      </c:barChart>
      <c:catAx>
        <c:axId val="1048874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4888960"/>
        <c:crosses val="autoZero"/>
        <c:auto val="1"/>
        <c:lblAlgn val="ctr"/>
        <c:lblOffset val="100"/>
      </c:catAx>
      <c:valAx>
        <c:axId val="10488896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488742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418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0.30430000000000007</c:v>
                </c:pt>
                <c:pt idx="1">
                  <c:v>0.52170000000000005</c:v>
                </c:pt>
                <c:pt idx="2">
                  <c:v>0.17390000000000003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0.69560000000000011</c:v>
                </c:pt>
                <c:pt idx="1">
                  <c:v>0.30440000000000006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Dragutin Tadijanović"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0.42720000000000002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Dragutin Tadijanović"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0.50719999999999998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Dragutin Tadijanović"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0.20280000000000001</c:v>
                </c:pt>
              </c:numCache>
            </c:numRef>
          </c:val>
        </c:ser>
        <c:axId val="105468288"/>
        <c:axId val="105469824"/>
      </c:barChart>
      <c:catAx>
        <c:axId val="1054682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5469824"/>
        <c:crosses val="autoZero"/>
        <c:auto val="1"/>
        <c:lblAlgn val="ctr"/>
        <c:lblOffset val="100"/>
      </c:catAx>
      <c:valAx>
        <c:axId val="10546982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546828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DRŽAVAMA EU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Ivana Brlić-Mažuranić</c:v>
                </c:pt>
                <c:pt idx="1">
                  <c:v>Đuro Pilar</c:v>
                </c:pt>
                <c:pt idx="2">
                  <c:v>Bogoslav Šulek</c:v>
                </c:pt>
                <c:pt idx="3">
                  <c:v>Vladimir Nazor</c:v>
                </c:pt>
                <c:pt idx="4">
                  <c:v>Dragutin Tadijanović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79.709999999999994</c:v>
                </c:pt>
                <c:pt idx="1">
                  <c:v>53.120000000000005</c:v>
                </c:pt>
                <c:pt idx="2">
                  <c:v>51.65</c:v>
                </c:pt>
                <c:pt idx="3">
                  <c:v>49.879999999999995</c:v>
                </c:pt>
                <c:pt idx="4">
                  <c:v>42.720000000000006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Ivana Brlić-Mažuranić</c:v>
                </c:pt>
                <c:pt idx="1">
                  <c:v>Đuro Pilar</c:v>
                </c:pt>
                <c:pt idx="2">
                  <c:v>Bogoslav Šulek</c:v>
                </c:pt>
                <c:pt idx="3">
                  <c:v>Vladimir Nazor</c:v>
                </c:pt>
                <c:pt idx="4">
                  <c:v>Dragutin Tadijanović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29.16</c:v>
                </c:pt>
                <c:pt idx="1">
                  <c:v>50.4</c:v>
                </c:pt>
                <c:pt idx="2">
                  <c:v>42.660000000000004</c:v>
                </c:pt>
                <c:pt idx="3">
                  <c:v>31.57</c:v>
                </c:pt>
                <c:pt idx="4">
                  <c:v>50.720000000000006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Ivana Brlić-Mažuranić</c:v>
                </c:pt>
                <c:pt idx="1">
                  <c:v>Đuro Pilar</c:v>
                </c:pt>
                <c:pt idx="2">
                  <c:v>Bogoslav Šulek</c:v>
                </c:pt>
                <c:pt idx="3">
                  <c:v>Vladimir Nazor</c:v>
                </c:pt>
                <c:pt idx="4">
                  <c:v>Dragutin Tadijanović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45.83</c:v>
                </c:pt>
                <c:pt idx="1">
                  <c:v>25.54</c:v>
                </c:pt>
                <c:pt idx="2">
                  <c:v>32</c:v>
                </c:pt>
                <c:pt idx="3">
                  <c:v>21.05</c:v>
                </c:pt>
                <c:pt idx="4">
                  <c:v>20.279999999999998</c:v>
                </c:pt>
              </c:numCache>
            </c:numRef>
          </c:val>
        </c:ser>
        <c:axId val="103332480"/>
        <c:axId val="104526208"/>
      </c:barChart>
      <c:catAx>
        <c:axId val="1033324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4526208"/>
        <c:crosses val="autoZero"/>
        <c:auto val="1"/>
        <c:lblAlgn val="ctr"/>
        <c:lblOffset val="100"/>
      </c:catAx>
      <c:valAx>
        <c:axId val="104526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333248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0.68</c:v>
                </c:pt>
                <c:pt idx="1">
                  <c:v>0.32000000000000034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Bogoslav Šulek"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0.51649999999999996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Bogoslav Šulek"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0.42660000000000026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Bogoslav Šulek"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0.32000000000000034</c:v>
                </c:pt>
              </c:numCache>
            </c:numRef>
          </c:val>
        </c:ser>
        <c:axId val="94949760"/>
        <c:axId val="94951296"/>
      </c:barChart>
      <c:catAx>
        <c:axId val="949497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4951296"/>
        <c:crosses val="autoZero"/>
        <c:auto val="1"/>
        <c:lblAlgn val="ctr"/>
        <c:lblOffset val="100"/>
      </c:catAx>
      <c:valAx>
        <c:axId val="9495129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49497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379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0.48000000000000015</c:v>
                </c:pt>
                <c:pt idx="1">
                  <c:v>0.4</c:v>
                </c:pt>
                <c:pt idx="2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0.76000000000000034</c:v>
                </c:pt>
                <c:pt idx="1">
                  <c:v>0.24000000000000007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OŠ"Vladimir Nazor"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0.49880000000000024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OŠ"Vladimir Nazor"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0.31570000000000015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OŠ"Vladimir Nazor"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0.21520000000000009</c:v>
                </c:pt>
              </c:numCache>
            </c:numRef>
          </c:val>
        </c:ser>
        <c:axId val="96661504"/>
        <c:axId val="96664192"/>
      </c:barChart>
      <c:catAx>
        <c:axId val="966615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6664192"/>
        <c:crosses val="autoZero"/>
        <c:auto val="1"/>
        <c:lblAlgn val="ctr"/>
        <c:lblOffset val="100"/>
      </c:catAx>
      <c:valAx>
        <c:axId val="9666419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9666150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27981961714245418"/>
          <c:y val="6.6666666666666693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Smatram da o Europskoj uniji znam: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MALO</c:v>
                </c:pt>
                <c:pt idx="1">
                  <c:v>DOVOLJNO</c:v>
                </c:pt>
                <c:pt idx="2">
                  <c:v>PUNO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0.25</c:v>
                </c:pt>
                <c:pt idx="1">
                  <c:v>0.66600000000000015</c:v>
                </c:pt>
                <c:pt idx="2">
                  <c:v>8.4000000000000019E-2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layout>
        <c:manualLayout>
          <c:xMode val="edge"/>
          <c:yMode val="edge"/>
          <c:x val="0.16757369614512474"/>
          <c:y val="3.2323232323232351E-2"/>
        </c:manualLayout>
      </c:layout>
      <c:txPr>
        <a:bodyPr/>
        <a:lstStyle/>
        <a:p>
          <a:pPr>
            <a:defRPr lang="en-US"/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 Europskoj uniji najčešće saznajem: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sr-Latn-CS"/>
              </a:p>
            </c:txPr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s televizije</c:v>
                </c:pt>
                <c:pt idx="1">
                  <c:v>drugi izvori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0.41600000000000004</c:v>
                </c:pt>
                <c:pt idx="1">
                  <c:v>0.58399999999999996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OPĆE ZNANJE O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Ivana Brlić-Mažuranić"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0.79710000000000003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POLITIKE I AKTIVNOSTI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Ivana Brlić-Mažuranić"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0.29160000000000008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INSTITUCIJE EU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OŠ " Ivana Brlić-Mažuranić"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0.45840000000000003</c:v>
                </c:pt>
              </c:numCache>
            </c:numRef>
          </c:val>
        </c:ser>
        <c:axId val="102552704"/>
        <c:axId val="102554624"/>
      </c:barChart>
      <c:catAx>
        <c:axId val="1025527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2554624"/>
        <c:crosses val="autoZero"/>
        <c:auto val="1"/>
        <c:lblAlgn val="ctr"/>
        <c:lblOffset val="100"/>
      </c:catAx>
      <c:valAx>
        <c:axId val="10255462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US"/>
            </a:pPr>
            <a:endParaRPr lang="sr-Latn-CS"/>
          </a:p>
        </c:txPr>
        <c:crossAx val="10255270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sr-Latn-C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2011-04-12T19:00:00Z</dcterms:created>
  <dcterms:modified xsi:type="dcterms:W3CDTF">2011-06-23T20:13:00Z</dcterms:modified>
</cp:coreProperties>
</file>