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DF" w:rsidRPr="005F3DDF" w:rsidRDefault="005F3DDF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>PRILOG 2.a</w:t>
      </w:r>
    </w:p>
    <w:p w:rsidR="005F3DDF" w:rsidRPr="005F3DDF" w:rsidRDefault="005F3DDF" w:rsidP="005F3DDF">
      <w:pPr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Obveznik </w:t>
      </w:r>
      <w:r w:rsidR="00E76351">
        <w:rPr>
          <w:rFonts w:ascii="Times New Roman" w:eastAsia="Times New Roman" w:hAnsi="Times New Roman"/>
          <w:b/>
          <w:kern w:val="32"/>
          <w:sz w:val="24"/>
          <w:szCs w:val="24"/>
        </w:rPr>
        <w:t>OŠ ANTUN MIHANOVIĆ SLAVONSKI BROD</w:t>
      </w:r>
      <w:r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 </w:t>
      </w:r>
    </w:p>
    <w:p w:rsidR="005F3DDF" w:rsidRPr="005F3DDF" w:rsidRDefault="005F3DDF" w:rsidP="005F3DDF">
      <w:pPr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 ZA PRORAČUNSKU GODINU </w:t>
      </w:r>
      <w:r w:rsidR="00E76351">
        <w:rPr>
          <w:rFonts w:ascii="Times New Roman" w:eastAsia="Times New Roman" w:hAnsi="Times New Roman"/>
          <w:b/>
          <w:sz w:val="24"/>
          <w:szCs w:val="24"/>
        </w:rPr>
        <w:t>2016.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604C26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7635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76351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76351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604C26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7635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604C26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a urazdoblju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E7635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E27DD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5F3DDF" w:rsidRPr="005F3DDF" w:rsidTr="00604C26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604C26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27DDC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604C26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i izvanproračunske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27DDC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604C26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604C26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E27DDC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</w:p>
        </w:tc>
      </w:tr>
      <w:tr w:rsidR="005F3DDF" w:rsidRPr="005F3DDF" w:rsidTr="00604C26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604C26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604C26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604C26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E27DDC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604C26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27D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604C26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C0207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604C26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604C26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C0207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24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CA21E5">
        <w:trPr>
          <w:trHeight w:val="650"/>
        </w:trPr>
        <w:tc>
          <w:tcPr>
            <w:tcW w:w="10218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604C26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C0207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5F3DDF" w:rsidRPr="005F3DDF" w:rsidTr="00604C26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C020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604C26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1F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604C26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1F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604C26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1F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internetskih stranicama gdje je objavljen registar ugovora o javnoj nabavii okvirnih sporazuma  </w:t>
            </w:r>
          </w:p>
        </w:tc>
      </w:tr>
      <w:tr w:rsidR="005F3DDF" w:rsidRPr="005F3DDF" w:rsidTr="00604C26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1F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1F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604C26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2D1F4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604C26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2D1F4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604C26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1F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5F3DDF" w:rsidRPr="005F3DDF" w:rsidTr="00604C26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1F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1F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604C26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1F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D1F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802820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604C26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podzakonskim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5F3DDF" w:rsidRPr="005F3DDF" w:rsidTr="00604C26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zorak1% svih računa, a najviše 100</w:t>
            </w:r>
          </w:p>
        </w:tc>
      </w:tr>
      <w:tr w:rsidR="005F3DDF" w:rsidRPr="005F3DDF" w:rsidTr="00604C26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604C26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CA21E5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klasifikacijska oznaka Pravilnika o čuvanju arhivskog i registraturnog gradiva odnosno odgovarajući dokaz</w:t>
            </w:r>
          </w:p>
        </w:tc>
      </w:tr>
      <w:tr w:rsidR="005F3DDF" w:rsidRPr="005F3DDF" w:rsidTr="00604C26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604C26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604C26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604C2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604C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0282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802820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604C26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802820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802820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  <w:bookmarkStart w:id="0" w:name="_GoBack"/>
      <w:bookmarkEnd w:id="0"/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7DF" w:rsidRDefault="008D57DF" w:rsidP="005F3DDF">
      <w:pPr>
        <w:spacing w:after="0" w:line="240" w:lineRule="auto"/>
      </w:pPr>
      <w:r>
        <w:separator/>
      </w:r>
    </w:p>
  </w:endnote>
  <w:endnote w:type="continuationSeparator" w:id="1">
    <w:p w:rsidR="008D57DF" w:rsidRDefault="008D57DF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DC" w:rsidRDefault="008C3FED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7DD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7DDC" w:rsidRDefault="00E27DDC" w:rsidP="005F3DD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DC" w:rsidRDefault="00E27DDC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7DF" w:rsidRDefault="008D57DF" w:rsidP="005F3DDF">
      <w:pPr>
        <w:spacing w:after="0" w:line="240" w:lineRule="auto"/>
      </w:pPr>
      <w:r>
        <w:separator/>
      </w:r>
    </w:p>
  </w:footnote>
  <w:footnote w:type="continuationSeparator" w:id="1">
    <w:p w:rsidR="008D57DF" w:rsidRDefault="008D57DF" w:rsidP="005F3DDF">
      <w:pPr>
        <w:spacing w:after="0" w:line="240" w:lineRule="auto"/>
      </w:pPr>
      <w:r>
        <w:continuationSeparator/>
      </w:r>
    </w:p>
  </w:footnote>
  <w:footnote w:id="2">
    <w:p w:rsidR="00E27DDC" w:rsidRPr="00604C26" w:rsidRDefault="00E27DDC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3">
    <w:p w:rsidR="00E27DDC" w:rsidRPr="00604C26" w:rsidRDefault="00E27DDC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4">
    <w:p w:rsidR="00E27DDC" w:rsidRDefault="00E27DDC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5">
    <w:p w:rsidR="00E27DDC" w:rsidRDefault="00E27DDC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6">
    <w:p w:rsidR="00E27DDC" w:rsidRDefault="00E27DDC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7">
    <w:p w:rsidR="00E27DDC" w:rsidRDefault="00E27DDC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8">
    <w:p w:rsidR="00E27DDC" w:rsidRDefault="00E27DDC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9">
    <w:p w:rsidR="00E27DDC" w:rsidRDefault="00E27DDC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10">
    <w:p w:rsidR="00E27DDC" w:rsidRDefault="00E27DDC" w:rsidP="005F3DDF">
      <w:pPr>
        <w:pStyle w:val="Tekstfusnote"/>
      </w:pPr>
      <w:r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1D"/>
    <w:rsid w:val="0009387C"/>
    <w:rsid w:val="000C05AF"/>
    <w:rsid w:val="000C6F3F"/>
    <w:rsid w:val="000D03FF"/>
    <w:rsid w:val="000D1583"/>
    <w:rsid w:val="00116D9D"/>
    <w:rsid w:val="0016048A"/>
    <w:rsid w:val="00234B69"/>
    <w:rsid w:val="0024695C"/>
    <w:rsid w:val="00290BCB"/>
    <w:rsid w:val="00294E1C"/>
    <w:rsid w:val="00295E3C"/>
    <w:rsid w:val="002C41F2"/>
    <w:rsid w:val="002D1F44"/>
    <w:rsid w:val="0032366C"/>
    <w:rsid w:val="00344636"/>
    <w:rsid w:val="003732B2"/>
    <w:rsid w:val="003A0B61"/>
    <w:rsid w:val="003C3556"/>
    <w:rsid w:val="003C771D"/>
    <w:rsid w:val="00486ED2"/>
    <w:rsid w:val="005C0207"/>
    <w:rsid w:val="005C66C2"/>
    <w:rsid w:val="005F3DDF"/>
    <w:rsid w:val="005F4E51"/>
    <w:rsid w:val="00604C26"/>
    <w:rsid w:val="00643E8A"/>
    <w:rsid w:val="00670C23"/>
    <w:rsid w:val="006A53B5"/>
    <w:rsid w:val="00752723"/>
    <w:rsid w:val="00786B77"/>
    <w:rsid w:val="00802820"/>
    <w:rsid w:val="00813BDE"/>
    <w:rsid w:val="008C3FED"/>
    <w:rsid w:val="008D57DF"/>
    <w:rsid w:val="009B2E49"/>
    <w:rsid w:val="009D25A8"/>
    <w:rsid w:val="00A96292"/>
    <w:rsid w:val="00AC6FD5"/>
    <w:rsid w:val="00AD1D57"/>
    <w:rsid w:val="00AF6753"/>
    <w:rsid w:val="00B501F2"/>
    <w:rsid w:val="00BC7640"/>
    <w:rsid w:val="00BD2DF6"/>
    <w:rsid w:val="00BE5A3C"/>
    <w:rsid w:val="00BE6230"/>
    <w:rsid w:val="00C40014"/>
    <w:rsid w:val="00C86E66"/>
    <w:rsid w:val="00CA21E5"/>
    <w:rsid w:val="00CC4049"/>
    <w:rsid w:val="00D00B37"/>
    <w:rsid w:val="00E279F7"/>
    <w:rsid w:val="00E27DDC"/>
    <w:rsid w:val="00E377BD"/>
    <w:rsid w:val="00E65468"/>
    <w:rsid w:val="00E76351"/>
    <w:rsid w:val="00E92359"/>
    <w:rsid w:val="00EA2CD2"/>
    <w:rsid w:val="00EC0C5B"/>
    <w:rsid w:val="00EF02EA"/>
    <w:rsid w:val="00F14D13"/>
    <w:rsid w:val="00F169D9"/>
    <w:rsid w:val="00F447BC"/>
    <w:rsid w:val="00F67B0E"/>
    <w:rsid w:val="00F756EE"/>
    <w:rsid w:val="00F922A5"/>
    <w:rsid w:val="00FA5FBB"/>
    <w:rsid w:val="00FE33CF"/>
    <w:rsid w:val="00FE438C"/>
    <w:rsid w:val="00FE4D1F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  <w:style w:type="character" w:styleId="Istaknuto">
    <w:name w:val="Emphasis"/>
    <w:basedOn w:val="Zadanifontodlomka"/>
    <w:qFormat/>
    <w:locked/>
    <w:rsid w:val="00E763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3AAE-5CFF-4954-A019-5C02C2A2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4300</Words>
  <Characters>24514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 </cp:lastModifiedBy>
  <cp:revision>2</cp:revision>
  <cp:lastPrinted>2017-02-20T10:07:00Z</cp:lastPrinted>
  <dcterms:created xsi:type="dcterms:W3CDTF">2017-03-12T22:03:00Z</dcterms:created>
  <dcterms:modified xsi:type="dcterms:W3CDTF">2017-03-12T22:03:00Z</dcterms:modified>
</cp:coreProperties>
</file>